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C12890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07.02</w:t>
      </w:r>
      <w:r w:rsidR="00776991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FF41D5">
        <w:rPr>
          <w:rFonts w:ascii="Franklin Gothic Book" w:eastAsia="Times New Roman" w:hAnsi="Franklin Gothic Book"/>
          <w:sz w:val="20"/>
          <w:szCs w:val="20"/>
          <w:lang w:val="ru-RU" w:eastAsia="ru-RU"/>
        </w:rPr>
        <w:t>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67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bookmarkStart w:id="0" w:name="_GoBack"/>
      <w:r w:rsidR="00C12890">
        <w:fldChar w:fldCharType="begin"/>
      </w:r>
      <w:r w:rsidR="00C12890" w:rsidRPr="00EC58A1">
        <w:rPr>
          <w:lang w:val="ru-RU"/>
        </w:rPr>
        <w:instrText xml:space="preserve"> </w:instrText>
      </w:r>
      <w:r w:rsidR="00C12890">
        <w:instrText>HYPERLINK</w:instrText>
      </w:r>
      <w:r w:rsidR="00C12890" w:rsidRPr="00EC58A1">
        <w:rPr>
          <w:lang w:val="ru-RU"/>
        </w:rPr>
        <w:instrText xml:space="preserve"> "</w:instrText>
      </w:r>
      <w:r w:rsidR="00C12890">
        <w:instrText>http</w:instrText>
      </w:r>
      <w:r w:rsidR="00C12890" w:rsidRPr="00EC58A1">
        <w:rPr>
          <w:lang w:val="ru-RU"/>
        </w:rPr>
        <w:instrText>://</w:instrText>
      </w:r>
      <w:r w:rsidR="00C12890">
        <w:instrText>www</w:instrText>
      </w:r>
      <w:r w:rsidR="00C12890" w:rsidRPr="00EC58A1">
        <w:rPr>
          <w:lang w:val="ru-RU"/>
        </w:rPr>
        <w:instrText>.</w:instrText>
      </w:r>
      <w:r w:rsidR="00C12890">
        <w:instrText>bkoks</w:instrText>
      </w:r>
      <w:r w:rsidR="00C12890" w:rsidRPr="00EC58A1">
        <w:rPr>
          <w:lang w:val="ru-RU"/>
        </w:rPr>
        <w:instrText>.</w:instrText>
      </w:r>
      <w:r w:rsidR="00C12890">
        <w:instrText>dp</w:instrText>
      </w:r>
      <w:r w:rsidR="00C12890" w:rsidRPr="00EC58A1">
        <w:rPr>
          <w:lang w:val="ru-RU"/>
        </w:rPr>
        <w:instrText>.</w:instrText>
      </w:r>
      <w:r w:rsidR="00C12890">
        <w:instrText>ua</w:instrText>
      </w:r>
      <w:r w:rsidR="00C12890" w:rsidRPr="00EC58A1">
        <w:rPr>
          <w:lang w:val="ru-RU"/>
        </w:rPr>
        <w:instrText>/</w:instrText>
      </w:r>
      <w:r w:rsidR="00C12890">
        <w:instrText>procurement</w:instrText>
      </w:r>
      <w:r w:rsidR="00C12890" w:rsidRPr="00EC58A1">
        <w:rPr>
          <w:lang w:val="ru-RU"/>
        </w:rPr>
        <w:instrText>_</w:instrText>
      </w:r>
      <w:r w:rsidR="00C12890">
        <w:instrText>services</w:instrText>
      </w:r>
      <w:r w:rsidR="00C12890" w:rsidRPr="00EC58A1">
        <w:rPr>
          <w:lang w:val="ru-RU"/>
        </w:rPr>
        <w:instrText xml:space="preserve">/" </w:instrText>
      </w:r>
      <w:r w:rsidR="00C12890">
        <w:fldChar w:fldCharType="separate"/>
      </w:r>
      <w:r w:rsidRPr="00A610D6">
        <w:rPr>
          <w:rStyle w:val="ab"/>
          <w:rFonts w:ascii="Franklin Gothic Book" w:eastAsia="Calibri" w:hAnsi="Franklin Gothic Book" w:cs="Arial"/>
          <w:b/>
          <w:bCs/>
          <w:sz w:val="22"/>
          <w:szCs w:val="22"/>
          <w:lang w:val="ru-RU"/>
        </w:rPr>
        <w:t>http://www.bkoks.dp.ua/procurement_services/</w:t>
      </w:r>
      <w:r w:rsidR="00C12890">
        <w:rPr>
          <w:rStyle w:val="ab"/>
          <w:rFonts w:ascii="Franklin Gothic Book" w:eastAsia="Calibri" w:hAnsi="Franklin Gothic Book" w:cs="Arial"/>
          <w:b/>
          <w:bCs/>
          <w:sz w:val="22"/>
          <w:szCs w:val="22"/>
          <w:lang w:val="ru-RU"/>
        </w:rPr>
        <w:fldChar w:fldCharType="end"/>
      </w:r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  <w:bookmarkEnd w:id="0"/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Услуги </w:t>
      </w:r>
      <w:proofErr w:type="spellStart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ТОиР</w:t>
      </w:r>
      <w:proofErr w:type="spellEnd"/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5253EA" w:rsidRP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оборудования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636"/>
        <w:gridCol w:w="1701"/>
        <w:gridCol w:w="2143"/>
        <w:gridCol w:w="1408"/>
        <w:gridCol w:w="1523"/>
      </w:tblGrid>
      <w:tr w:rsidR="00483C96" w:rsidRPr="00346AA7" w:rsidTr="00776991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6AA7" w:rsidTr="0017246C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EC58A1" w:rsidP="0029203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КР Крана КЖДЭ-25т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292035" w:rsidRDefault="007714A5" w:rsidP="007714A5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Согласно ТЗ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EC58A1" w:rsidRDefault="00EC58A1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EC58A1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Подрядчика с согласованием цен отделом закупок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Pr="00346AA7" w:rsidRDefault="00EC58A1" w:rsidP="0029203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Май-июнь</w:t>
            </w:r>
            <w:r w:rsidR="00292035"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EC58A1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EC58A1" w:rsidRPr="00346AA7" w:rsidTr="0017246C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8A1" w:rsidRDefault="00EC58A1" w:rsidP="00EC58A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8A1" w:rsidRPr="00346AA7" w:rsidRDefault="00EC58A1" w:rsidP="00EC58A1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КР </w:t>
            </w:r>
            <w:r w:rsidR="00C12890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тепловоза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ТЭМ 2У №9225 в объеме КР-2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A1" w:rsidRDefault="00EC58A1" w:rsidP="00EC58A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EC58A1" w:rsidRDefault="00EC58A1" w:rsidP="00EC58A1">
            <w:pPr>
              <w:jc w:val="center"/>
            </w:pPr>
            <w:r>
              <w:rPr>
                <w:rFonts w:ascii="Times New Roman" w:hAnsi="Times New Roman"/>
                <w:lang w:val="ru-RU"/>
              </w:rPr>
              <w:t>Согласно ТЗ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8A1" w:rsidRPr="00EC58A1" w:rsidRDefault="00EC58A1" w:rsidP="00EC58A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EC58A1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Подрядчика с согласованием цен отделом закупок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58A1" w:rsidRPr="00346AA7" w:rsidRDefault="00EC58A1" w:rsidP="00EC58A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юнь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-сентябрь</w:t>
            </w: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A1" w:rsidRPr="00346AA7" w:rsidRDefault="00EC58A1" w:rsidP="00EC58A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EC58A1" w:rsidRPr="00346AA7" w:rsidRDefault="00EC58A1" w:rsidP="00EC58A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EC58A1" w:rsidRPr="00EC58A1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58A1" w:rsidRPr="000669D5" w:rsidRDefault="00EC58A1" w:rsidP="00EC58A1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EC58A1" w:rsidRPr="00346AA7" w:rsidRDefault="00EC58A1" w:rsidP="00EC58A1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096-8537078 </w:t>
            </w: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. начальника ЖДЦ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C64EFE">
      <w:pPr>
        <w:ind w:left="-851"/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EC58A1">
        <w:rPr>
          <w:rFonts w:ascii="Times New Roman" w:eastAsia="Calibri" w:hAnsi="Times New Roman"/>
          <w:b/>
          <w:lang w:val="ru-RU"/>
        </w:rPr>
        <w:t>ТЗ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 xml:space="preserve">Территория </w:t>
      </w:r>
      <w:r w:rsidR="00EC58A1">
        <w:rPr>
          <w:rFonts w:ascii="Times New Roman" w:eastAsia="Calibri" w:hAnsi="Times New Roman"/>
          <w:b/>
          <w:lang w:val="ru-RU"/>
        </w:rPr>
        <w:t>Подрядчика</w:t>
      </w:r>
      <w:r w:rsidRPr="00C61B67">
        <w:rPr>
          <w:rFonts w:ascii="Times New Roman" w:eastAsia="Calibri" w:hAnsi="Times New Roman"/>
          <w:b/>
          <w:lang w:val="ru-RU"/>
        </w:rPr>
        <w:t>.</w:t>
      </w:r>
    </w:p>
    <w:p w:rsidR="00440F16" w:rsidRPr="00C61B67" w:rsidRDefault="009F089B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C64EFE">
      <w:pPr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EC58A1">
        <w:rPr>
          <w:rFonts w:ascii="Times New Roman" w:eastAsia="Calibri" w:hAnsi="Times New Roman"/>
          <w:b/>
          <w:bCs/>
          <w:lang w:val="ru-RU"/>
        </w:rPr>
        <w:t>19</w:t>
      </w:r>
      <w:r w:rsidR="00C61B67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EC58A1">
        <w:rPr>
          <w:rFonts w:ascii="Times New Roman" w:eastAsia="Calibri" w:hAnsi="Times New Roman"/>
          <w:b/>
          <w:bCs/>
          <w:lang w:val="ru-RU"/>
        </w:rPr>
        <w:t>февраля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FF41D5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C64EFE">
      <w:pPr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A47FC8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proofErr w:type="spellStart"/>
      <w:r w:rsidR="00C64EFE">
        <w:rPr>
          <w:rFonts w:ascii="Times New Roman" w:eastAsia="Calibri" w:hAnsi="Times New Roman"/>
          <w:lang w:val="ru-RU"/>
        </w:rPr>
        <w:t>Тех.задание</w:t>
      </w:r>
      <w:proofErr w:type="spellEnd"/>
      <w:r w:rsidR="00C12890">
        <w:rPr>
          <w:rFonts w:ascii="Times New Roman" w:eastAsia="Calibri" w:hAnsi="Times New Roman"/>
          <w:lang w:val="ru-RU"/>
        </w:rPr>
        <w:t>, ВД</w:t>
      </w:r>
    </w:p>
    <w:p w:rsidR="00C64EFE" w:rsidRDefault="00C64EFE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</w:p>
    <w:p w:rsidR="00C64EFE" w:rsidRDefault="00C64EFE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</w:p>
    <w:p w:rsidR="00091F1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C61B67" w:rsidRDefault="00C64EFE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4EFE">
        <w:rPr>
          <w:rFonts w:ascii="Times New Roman" w:eastAsia="Calibri" w:hAnsi="Times New Roman"/>
          <w:b/>
          <w:bCs/>
          <w:lang w:val="ru-RU"/>
        </w:rPr>
        <w:t>Глова Евгений Анатольевич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8" w:history="1">
        <w:r w:rsidRPr="00927A5C">
          <w:rPr>
            <w:rStyle w:val="ab"/>
            <w:rFonts w:ascii="Times New Roman" w:hAnsi="Times New Roman"/>
            <w:lang w:val="ru-RU" w:eastAsia="ru-RU"/>
          </w:rPr>
          <w:t>:</w:t>
        </w:r>
        <w:r w:rsidRPr="00927A5C">
          <w:rPr>
            <w:rStyle w:val="ab"/>
            <w:rFonts w:ascii="Times New Roman" w:hAnsi="Times New Roman"/>
            <w:lang w:eastAsia="ru-RU"/>
          </w:rPr>
          <w:t> </w:t>
        </w:r>
        <w:r w:rsidRPr="00927A5C">
          <w:rPr>
            <w:rStyle w:val="ab"/>
            <w:rFonts w:ascii="Times New Roman" w:hAnsi="Times New Roman"/>
            <w:lang w:val="ru-RU" w:eastAsia="ru-RU"/>
          </w:rPr>
          <w:t xml:space="preserve"> </w:t>
        </w:r>
        <w:r w:rsidRPr="00927A5C">
          <w:rPr>
            <w:rStyle w:val="ab"/>
          </w:rPr>
          <w:t>Evgeny</w:t>
        </w:r>
        <w:r w:rsidRPr="00C64EFE">
          <w:rPr>
            <w:rStyle w:val="ab"/>
            <w:lang w:val="ru-RU"/>
          </w:rPr>
          <w:t>.</w:t>
        </w:r>
        <w:r w:rsidRPr="00927A5C">
          <w:rPr>
            <w:rStyle w:val="ab"/>
          </w:rPr>
          <w:t>Glova</w:t>
        </w:r>
        <w:r w:rsidRPr="00C64EFE">
          <w:rPr>
            <w:rStyle w:val="ab"/>
            <w:lang w:val="ru-RU"/>
          </w:rPr>
          <w:t>@</w:t>
        </w:r>
        <w:r w:rsidRPr="00927A5C">
          <w:rPr>
            <w:rStyle w:val="ab"/>
          </w:rPr>
          <w:t>bkoks</w:t>
        </w:r>
        <w:r w:rsidRPr="00C64EFE">
          <w:rPr>
            <w:rStyle w:val="ab"/>
            <w:lang w:val="ru-RU"/>
          </w:rPr>
          <w:t>.</w:t>
        </w:r>
        <w:r w:rsidRPr="00927A5C">
          <w:rPr>
            <w:rStyle w:val="ab"/>
          </w:rPr>
          <w:t>dp</w:t>
        </w:r>
        <w:r w:rsidRPr="00C64EFE">
          <w:rPr>
            <w:rStyle w:val="ab"/>
            <w:lang w:val="ru-RU"/>
          </w:rPr>
          <w:t>.</w:t>
        </w:r>
        <w:r w:rsidRPr="00927A5C">
          <w:rPr>
            <w:rStyle w:val="ab"/>
          </w:rPr>
          <w:t>ua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(0</w:t>
      </w:r>
      <w:r>
        <w:rPr>
          <w:rFonts w:ascii="Times New Roman" w:eastAsia="Calibri" w:hAnsi="Times New Roman"/>
          <w:b/>
          <w:bCs/>
          <w:lang w:val="ru-RU"/>
        </w:rPr>
        <w:t>56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>
        <w:rPr>
          <w:rFonts w:ascii="Times New Roman" w:eastAsia="Calibri" w:hAnsi="Times New Roman"/>
          <w:b/>
          <w:bCs/>
          <w:lang w:val="ru-RU"/>
        </w:rPr>
        <w:t>565-371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9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4EFE" w:rsidRPr="007D5DD1" w:rsidRDefault="00C64EF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C64EFE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C64EFE" w:rsidRDefault="00C64EFE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C64EFE">
        <w:rPr>
          <w:rFonts w:ascii="Franklin Gothic Book" w:hAnsi="Franklin Gothic Book" w:cs="Arial"/>
          <w:sz w:val="18"/>
          <w:szCs w:val="18"/>
          <w:lang w:val="ru-RU"/>
        </w:rPr>
        <w:t>Глова Е.А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C12890" w:rsidRDefault="00C12890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0569-565371</w:t>
      </w:r>
    </w:p>
    <w:p w:rsidR="00333233" w:rsidRPr="009B2E41" w:rsidRDefault="00333233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</w:p>
    <w:sectPr w:rsidR="00333233" w:rsidRPr="009B2E41" w:rsidSect="000669D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62" w:rsidRDefault="00216D62" w:rsidP="00E751D7">
      <w:r>
        <w:separator/>
      </w:r>
    </w:p>
  </w:endnote>
  <w:endnote w:type="continuationSeparator" w:id="0">
    <w:p w:rsidR="00216D62" w:rsidRDefault="00216D62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62" w:rsidRDefault="00216D62" w:rsidP="00E751D7">
      <w:r>
        <w:separator/>
      </w:r>
    </w:p>
  </w:footnote>
  <w:footnote w:type="continuationSeparator" w:id="0">
    <w:p w:rsidR="00216D62" w:rsidRDefault="00216D62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6D62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3ABF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14A5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2890"/>
    <w:rsid w:val="00C13C68"/>
    <w:rsid w:val="00C14707"/>
    <w:rsid w:val="00C150CE"/>
    <w:rsid w:val="00C155D7"/>
    <w:rsid w:val="00C15D23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4EFE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58A1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1D5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D3F061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&#160;%20Evgeny.Glova@bkoks.dp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uslugi@bkoks.dp.ua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3C039-FA6A-4A7B-B43D-C93BEB0B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Глова Евгений Анатольевич</cp:lastModifiedBy>
  <cp:revision>2</cp:revision>
  <cp:lastPrinted>2020-01-22T14:56:00Z</cp:lastPrinted>
  <dcterms:created xsi:type="dcterms:W3CDTF">2020-02-07T14:48:00Z</dcterms:created>
  <dcterms:modified xsi:type="dcterms:W3CDTF">2020-02-07T14:48:00Z</dcterms:modified>
</cp:coreProperties>
</file>